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30" w:rsidRDefault="00BA1A3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70" w:type="dxa"/>
        <w:tblLayout w:type="fixed"/>
        <w:tblLook w:val="0400" w:firstRow="0" w:lastRow="0" w:firstColumn="0" w:lastColumn="0" w:noHBand="0" w:noVBand="1"/>
      </w:tblPr>
      <w:tblGrid>
        <w:gridCol w:w="15370"/>
      </w:tblGrid>
      <w:tr w:rsidR="00BA1A30">
        <w:trPr>
          <w:trHeight w:val="247"/>
        </w:trPr>
        <w:tc>
          <w:tcPr>
            <w:tcW w:w="15370"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FFFFFF"/>
              </w:rPr>
            </w:pPr>
            <w:r>
              <w:rPr>
                <w:rFonts w:ascii="Arial" w:eastAsia="Arial" w:hAnsi="Arial" w:cs="Arial"/>
                <w:b/>
                <w:color w:val="FFFFFF"/>
                <w:sz w:val="20"/>
                <w:szCs w:val="20"/>
              </w:rPr>
              <w:t> </w:t>
            </w:r>
            <w:r>
              <w:rPr>
                <w:rFonts w:ascii="Arial" w:eastAsia="Arial" w:hAnsi="Arial" w:cs="Arial"/>
                <w:b/>
                <w:color w:val="FFFFFF"/>
              </w:rPr>
              <w:t>Year 6 Transition Learning Projects</w:t>
            </w: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-76199</wp:posOffset>
                  </wp:positionV>
                  <wp:extent cx="1358610" cy="576775"/>
                  <wp:effectExtent l="0" t="0" r="0" b="0"/>
                  <wp:wrapTopAndBottom distT="0" distB="0"/>
                  <wp:docPr id="1" name="image2.png" descr="https://lh6.googleusercontent.com/IvSnNVE_Ojnkqlk2sSLFzezvimkk8grJawbLq9vt_6Br02yzGPLOav2OLXdrvDGodrQtrF4zcca83F5OYOL7xYLw-2VEYEOn2MHyPk4txKRuL2zvDnhATyEqyaYUurqywZBndQOudWM"/>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IvSnNVE_Ojnkqlk2sSLFzezvimkk8grJawbLq9vt_6Br02yzGPLOav2OLXdrvDGodrQtrF4zcca83F5OYOL7xYLw-2VEYEOn2MHyPk4txKRuL2zvDnhATyEqyaYUurqywZBndQOudWM"/>
                          <pic:cNvPicPr preferRelativeResize="0"/>
                        </pic:nvPicPr>
                        <pic:blipFill>
                          <a:blip r:embed="rId5"/>
                          <a:srcRect/>
                          <a:stretch>
                            <a:fillRect/>
                          </a:stretch>
                        </pic:blipFill>
                        <pic:spPr>
                          <a:xfrm>
                            <a:off x="0" y="0"/>
                            <a:ext cx="1358610" cy="576775"/>
                          </a:xfrm>
                          <a:prstGeom prst="rect">
                            <a:avLst/>
                          </a:prstGeom>
                          <a:ln/>
                        </pic:spPr>
                      </pic:pic>
                    </a:graphicData>
                  </a:graphic>
                </wp:anchor>
              </w:drawing>
            </w:r>
          </w:p>
        </w:tc>
      </w:tr>
      <w:tr w:rsidR="00BA1A30">
        <w:trPr>
          <w:trHeight w:val="108"/>
        </w:trPr>
        <w:tc>
          <w:tcPr>
            <w:tcW w:w="15370" w:type="dxa"/>
            <w:tcBorders>
              <w:top w:val="single" w:sz="8" w:space="0" w:color="000000"/>
              <w:left w:val="single" w:sz="12" w:space="0" w:color="434343"/>
              <w:bottom w:val="single" w:sz="8" w:space="0" w:color="000000"/>
              <w:right w:val="single" w:sz="12" w:space="0" w:color="434343"/>
            </w:tcBorders>
            <w:shd w:val="clear" w:color="auto" w:fill="FFFF00"/>
            <w:tcMar>
              <w:top w:w="150" w:type="dxa"/>
              <w:left w:w="150" w:type="dxa"/>
              <w:bottom w:w="150" w:type="dxa"/>
              <w:right w:w="150"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Your Network</w:t>
            </w:r>
          </w:p>
        </w:tc>
      </w:tr>
      <w:tr w:rsidR="00BA1A30">
        <w:trPr>
          <w:trHeight w:val="541"/>
        </w:trPr>
        <w:tc>
          <w:tcPr>
            <w:tcW w:w="15370" w:type="dxa"/>
            <w:tcBorders>
              <w:top w:val="single" w:sz="8" w:space="0" w:color="000000"/>
              <w:left w:val="single" w:sz="12" w:space="0" w:color="434343"/>
              <w:bottom w:val="single" w:sz="8" w:space="0" w:color="000000"/>
              <w:right w:val="single" w:sz="12" w:space="0" w:color="434343"/>
            </w:tcBorders>
            <w:shd w:val="clear" w:color="auto" w:fill="FFFFFF"/>
            <w:tcMar>
              <w:top w:w="150" w:type="dxa"/>
              <w:left w:w="150" w:type="dxa"/>
              <w:bottom w:w="150" w:type="dxa"/>
              <w:right w:w="150"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This week’s learning project focuses on who your child can turn to and how to form friendships with other children. </w:t>
            </w:r>
          </w:p>
          <w:p w:rsidR="00BA1A30" w:rsidRDefault="00F54C07">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It will give them the opportunity to create strategies to make friends, stay in touch with other children from primary school and the importance of staying safe online</w:t>
            </w:r>
            <w:proofErr w:type="gramStart"/>
            <w:r>
              <w:rPr>
                <w:rFonts w:ascii="Arial" w:eastAsia="Arial" w:hAnsi="Arial" w:cs="Arial"/>
                <w:b/>
                <w:color w:val="000000"/>
                <w:sz w:val="20"/>
                <w:szCs w:val="20"/>
              </w:rPr>
              <w:t>..</w:t>
            </w:r>
            <w:proofErr w:type="gramEnd"/>
          </w:p>
        </w:tc>
      </w:tr>
      <w:tr w:rsidR="00BA1A30">
        <w:trPr>
          <w:trHeight w:val="116"/>
        </w:trPr>
        <w:tc>
          <w:tcPr>
            <w:tcW w:w="15370" w:type="dxa"/>
            <w:tcBorders>
              <w:top w:val="single" w:sz="8" w:space="0" w:color="000000"/>
              <w:left w:val="single" w:sz="12" w:space="0" w:color="434343"/>
              <w:bottom w:val="single" w:sz="8" w:space="0" w:color="000000"/>
              <w:right w:val="single" w:sz="12" w:space="0" w:color="434343"/>
            </w:tcBorders>
            <w:shd w:val="clear" w:color="auto" w:fill="FFFF00"/>
            <w:tcMar>
              <w:top w:w="150" w:type="dxa"/>
              <w:left w:w="150" w:type="dxa"/>
              <w:bottom w:w="150" w:type="dxa"/>
              <w:right w:w="150"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u w:val="single"/>
              </w:rPr>
              <w:t>Transition Activities:</w:t>
            </w:r>
          </w:p>
        </w:tc>
      </w:tr>
      <w:tr w:rsidR="00BA1A30">
        <w:trPr>
          <w:trHeight w:val="824"/>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A1A30" w:rsidRDefault="00F54C07">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0000"/>
                <w:sz w:val="20"/>
                <w:szCs w:val="20"/>
              </w:rPr>
              <w:t xml:space="preserve">Monday- </w:t>
            </w:r>
            <w:r>
              <w:rPr>
                <w:rFonts w:ascii="Arial" w:eastAsia="Arial" w:hAnsi="Arial" w:cs="Arial"/>
                <w:color w:val="000000"/>
                <w:sz w:val="20"/>
                <w:szCs w:val="20"/>
              </w:rPr>
              <w:t>Your child might be attending a secondary school that none of their friends/peers are attending. Even if they are, they might not be in the same classes or on the same timetable as them. Therefore, they will need to make some new friends. Ask your child to</w:t>
            </w:r>
            <w:r>
              <w:rPr>
                <w:rFonts w:ascii="Arial" w:eastAsia="Arial" w:hAnsi="Arial" w:cs="Arial"/>
                <w:color w:val="000000"/>
                <w:sz w:val="20"/>
                <w:szCs w:val="20"/>
              </w:rPr>
              <w:t xml:space="preserve"> make a top tips poster on the best way to make new friends. Get them to watch this short </w:t>
            </w:r>
            <w:hyperlink r:id="rId6">
              <w:r>
                <w:rPr>
                  <w:rFonts w:ascii="Arial" w:eastAsia="Arial" w:hAnsi="Arial" w:cs="Arial"/>
                  <w:color w:val="0097A7"/>
                  <w:sz w:val="20"/>
                  <w:szCs w:val="20"/>
                  <w:u w:val="single"/>
                </w:rPr>
                <w:t>video</w:t>
              </w:r>
            </w:hyperlink>
            <w:r>
              <w:rPr>
                <w:rFonts w:ascii="Arial" w:eastAsia="Arial" w:hAnsi="Arial" w:cs="Arial"/>
                <w:color w:val="000000"/>
                <w:sz w:val="20"/>
                <w:szCs w:val="20"/>
              </w:rPr>
              <w:t xml:space="preserve"> to help them gather some ideas on the best way to make friends or speak to family members abo</w:t>
            </w:r>
            <w:r>
              <w:rPr>
                <w:rFonts w:ascii="Arial" w:eastAsia="Arial" w:hAnsi="Arial" w:cs="Arial"/>
                <w:color w:val="000000"/>
                <w:sz w:val="20"/>
                <w:szCs w:val="20"/>
              </w:rPr>
              <w:t xml:space="preserve">ut  how they made friends when they went to secondary school (this could be parents, older siblings, aunties/uncles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 </w:t>
            </w:r>
          </w:p>
        </w:tc>
      </w:tr>
      <w:tr w:rsidR="00BA1A30">
        <w:trPr>
          <w:trHeight w:val="582"/>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A1A30" w:rsidRDefault="00F54C07">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9900"/>
                <w:sz w:val="20"/>
                <w:szCs w:val="20"/>
              </w:rPr>
              <w:t xml:space="preserve">Tuesday- </w:t>
            </w:r>
            <w:r>
              <w:rPr>
                <w:rFonts w:ascii="Arial" w:eastAsia="Arial" w:hAnsi="Arial" w:cs="Arial"/>
                <w:color w:val="000000"/>
                <w:sz w:val="20"/>
                <w:szCs w:val="20"/>
              </w:rPr>
              <w:t>In September, your child will be facing lots of changes and they will need to be reassured that they have people at home th</w:t>
            </w:r>
            <w:r>
              <w:rPr>
                <w:rFonts w:ascii="Arial" w:eastAsia="Arial" w:hAnsi="Arial" w:cs="Arial"/>
                <w:color w:val="000000"/>
                <w:sz w:val="20"/>
                <w:szCs w:val="20"/>
              </w:rPr>
              <w:t>at are there to support them. Have a discussion about who they could turn to for help or advice in your household or family. Afterwards, ask them to create a diagram or pyramid of family and friends they would turn to. Get them to think about specific thin</w:t>
            </w:r>
            <w:r>
              <w:rPr>
                <w:rFonts w:ascii="Arial" w:eastAsia="Arial" w:hAnsi="Arial" w:cs="Arial"/>
                <w:color w:val="000000"/>
                <w:sz w:val="20"/>
                <w:szCs w:val="20"/>
              </w:rPr>
              <w:t>gs they would go to particular people for. </w:t>
            </w:r>
          </w:p>
        </w:tc>
      </w:tr>
      <w:tr w:rsidR="00BA1A30">
        <w:trPr>
          <w:trHeight w:val="915"/>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A1A30" w:rsidRDefault="00F54C07">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38761D"/>
                <w:sz w:val="20"/>
                <w:szCs w:val="20"/>
              </w:rPr>
              <w:t xml:space="preserve">Wednesday- </w:t>
            </w:r>
            <w:r>
              <w:rPr>
                <w:rFonts w:ascii="Arial" w:eastAsia="Arial" w:hAnsi="Arial" w:cs="Arial"/>
                <w:color w:val="000000"/>
                <w:sz w:val="20"/>
                <w:szCs w:val="20"/>
              </w:rPr>
              <w:t>At your child’s new secondary school, your child will have different members of staff for each lesson. It is important that your child begins to recognise these teachers as safe adults and considers who they will go to with problems and worries. Ask your c</w:t>
            </w:r>
            <w:r>
              <w:rPr>
                <w:rFonts w:ascii="Arial" w:eastAsia="Arial" w:hAnsi="Arial" w:cs="Arial"/>
                <w:color w:val="000000"/>
                <w:sz w:val="20"/>
                <w:szCs w:val="20"/>
              </w:rPr>
              <w:t>hild to research their new school website and find out which teachers are in different departments. Ask them to consider which teacher they may go to if they have forgotten homework, if they have concerns over a friendship group and if they are finding a p</w:t>
            </w:r>
            <w:r>
              <w:rPr>
                <w:rFonts w:ascii="Arial" w:eastAsia="Arial" w:hAnsi="Arial" w:cs="Arial"/>
                <w:color w:val="000000"/>
                <w:sz w:val="20"/>
                <w:szCs w:val="20"/>
              </w:rPr>
              <w:t>iece of work difficult. </w:t>
            </w:r>
          </w:p>
        </w:tc>
      </w:tr>
      <w:tr w:rsidR="00BA1A30">
        <w:trPr>
          <w:trHeight w:val="632"/>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A1A30" w:rsidRDefault="00F54C07">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FF"/>
                <w:sz w:val="20"/>
                <w:szCs w:val="20"/>
              </w:rPr>
              <w:t xml:space="preserve">Thursday- </w:t>
            </w:r>
            <w:r>
              <w:rPr>
                <w:rFonts w:ascii="Arial" w:eastAsia="Arial" w:hAnsi="Arial" w:cs="Arial"/>
                <w:color w:val="000000"/>
                <w:sz w:val="20"/>
                <w:szCs w:val="20"/>
              </w:rPr>
              <w:t xml:space="preserve">Ask your child what online platforms they use; this could be games, social media or websites. Ask them how they know </w:t>
            </w:r>
            <w:proofErr w:type="gramStart"/>
            <w:r>
              <w:rPr>
                <w:rFonts w:ascii="Arial" w:eastAsia="Arial" w:hAnsi="Arial" w:cs="Arial"/>
                <w:color w:val="000000"/>
                <w:sz w:val="20"/>
                <w:szCs w:val="20"/>
              </w:rPr>
              <w:t>it’s</w:t>
            </w:r>
            <w:proofErr w:type="gramEnd"/>
            <w:r>
              <w:rPr>
                <w:rFonts w:ascii="Arial" w:eastAsia="Arial" w:hAnsi="Arial" w:cs="Arial"/>
                <w:color w:val="000000"/>
                <w:sz w:val="20"/>
                <w:szCs w:val="20"/>
              </w:rPr>
              <w:t xml:space="preserve"> safe and what they do online to keep themselves safe. Discuss how social media and technology will come into their lives more as they </w:t>
            </w:r>
            <w:r>
              <w:rPr>
                <w:rFonts w:ascii="Arial" w:eastAsia="Arial" w:hAnsi="Arial" w:cs="Arial"/>
                <w:color w:val="000000"/>
                <w:sz w:val="20"/>
                <w:szCs w:val="20"/>
              </w:rPr>
              <w:t>grow up and how it is really important to use them wisely and what impact this may have at school and in the future. Ask them to create a set of guidelines to make sure that they are safe online. </w:t>
            </w:r>
          </w:p>
        </w:tc>
      </w:tr>
      <w:tr w:rsidR="00BA1A30">
        <w:trPr>
          <w:trHeight w:val="716"/>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A1A30" w:rsidRPr="00F54C07" w:rsidRDefault="00F54C07">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9900FF"/>
                <w:sz w:val="20"/>
                <w:szCs w:val="20"/>
              </w:rPr>
              <w:t xml:space="preserve">Friday- </w:t>
            </w:r>
            <w:r>
              <w:rPr>
                <w:rFonts w:ascii="Arial" w:eastAsia="Arial" w:hAnsi="Arial" w:cs="Arial"/>
                <w:color w:val="000000"/>
                <w:sz w:val="20"/>
                <w:szCs w:val="20"/>
              </w:rPr>
              <w:t>Your child may be leaving some of their friends fr</w:t>
            </w:r>
            <w:r>
              <w:rPr>
                <w:rFonts w:ascii="Arial" w:eastAsia="Arial" w:hAnsi="Arial" w:cs="Arial"/>
                <w:color w:val="000000"/>
                <w:sz w:val="20"/>
                <w:szCs w:val="20"/>
              </w:rPr>
              <w:t>om primary school and this may add to their worries about the transition. Have a conversation with your child about which of their friends are going to the same secondary school and which friends are going to different schools. Ask your child how they coul</w:t>
            </w:r>
            <w:r>
              <w:rPr>
                <w:rFonts w:ascii="Arial" w:eastAsia="Arial" w:hAnsi="Arial" w:cs="Arial"/>
                <w:color w:val="000000"/>
                <w:sz w:val="20"/>
                <w:szCs w:val="20"/>
              </w:rPr>
              <w:t>d keep in contact with them. For example: meeting outside of school in a safe place, using an online classroom that has been set up by your school or over the phone.</w:t>
            </w:r>
          </w:p>
        </w:tc>
      </w:tr>
    </w:tbl>
    <w:p w:rsidR="00BA1A30" w:rsidRDefault="00F54C07">
      <w:pPr>
        <w:rPr>
          <w:rFonts w:ascii="-webkit-standard" w:eastAsia="-webkit-standard" w:hAnsi="-webkit-standard" w:cs="-webkit-standard"/>
          <w:color w:val="000000"/>
        </w:rPr>
      </w:pPr>
      <w:r>
        <w:rPr>
          <w:rFonts w:ascii="-webkit-standard" w:eastAsia="-webkit-standard" w:hAnsi="-webkit-standard" w:cs="-webkit-standard"/>
          <w:color w:val="000000"/>
        </w:rPr>
        <w:t> </w:t>
      </w:r>
    </w:p>
    <w:tbl>
      <w:tblPr>
        <w:tblStyle w:val="a0"/>
        <w:tblW w:w="15720" w:type="dxa"/>
        <w:tblLayout w:type="fixed"/>
        <w:tblLook w:val="0400" w:firstRow="0" w:lastRow="0" w:firstColumn="0" w:lastColumn="0" w:noHBand="0" w:noVBand="1"/>
      </w:tblPr>
      <w:tblGrid>
        <w:gridCol w:w="15720"/>
      </w:tblGrid>
      <w:tr w:rsidR="00BA1A30">
        <w:trPr>
          <w:trHeight w:val="239"/>
        </w:trPr>
        <w:tc>
          <w:tcPr>
            <w:tcW w:w="15720"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BA1A30" w:rsidRDefault="00F54C07">
            <w:pPr>
              <w:pBdr>
                <w:top w:val="nil"/>
                <w:left w:val="nil"/>
                <w:bottom w:val="nil"/>
                <w:right w:val="nil"/>
                <w:between w:val="nil"/>
              </w:pBdr>
              <w:rPr>
                <w:rFonts w:ascii="Arial" w:eastAsia="Arial" w:hAnsi="Arial" w:cs="Arial"/>
                <w:b/>
                <w:color w:val="FFFFFF"/>
              </w:rPr>
            </w:pPr>
            <w:r>
              <w:rPr>
                <w:noProof/>
              </w:rPr>
              <w:lastRenderedPageBreak/>
              <w:drawing>
                <wp:anchor distT="0" distB="0" distL="114300" distR="114300" simplePos="0" relativeHeight="251659264" behindDoc="0" locked="0" layoutInCell="1" hidden="0" allowOverlap="1">
                  <wp:simplePos x="0" y="0"/>
                  <wp:positionH relativeFrom="column">
                    <wp:posOffset>228600</wp:posOffset>
                  </wp:positionH>
                  <wp:positionV relativeFrom="paragraph">
                    <wp:posOffset>0</wp:posOffset>
                  </wp:positionV>
                  <wp:extent cx="1358610" cy="576775"/>
                  <wp:effectExtent l="0" t="0" r="0" b="0"/>
                  <wp:wrapTopAndBottom distT="0" distB="0"/>
                  <wp:docPr id="2" name="image2.png" descr="https://lh6.googleusercontent.com/IvSnNVE_Ojnkqlk2sSLFzezvimkk8grJawbLq9vt_6Br02yzGPLOav2OLXdrvDGodrQtrF4zcca83F5OYOL7xYLw-2VEYEOn2MHyPk4txKRuL2zvDnhATyEqyaYUurqywZBndQOudWM"/>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IvSnNVE_Ojnkqlk2sSLFzezvimkk8grJawbLq9vt_6Br02yzGPLOav2OLXdrvDGodrQtrF4zcca83F5OYOL7xYLw-2VEYEOn2MHyPk4txKRuL2zvDnhATyEqyaYUurqywZBndQOudWM"/>
                          <pic:cNvPicPr preferRelativeResize="0"/>
                        </pic:nvPicPr>
                        <pic:blipFill>
                          <a:blip r:embed="rId5"/>
                          <a:srcRect/>
                          <a:stretch>
                            <a:fillRect/>
                          </a:stretch>
                        </pic:blipFill>
                        <pic:spPr>
                          <a:xfrm>
                            <a:off x="0" y="0"/>
                            <a:ext cx="1358610" cy="576775"/>
                          </a:xfrm>
                          <a:prstGeom prst="rect">
                            <a:avLst/>
                          </a:prstGeom>
                          <a:ln/>
                        </pic:spPr>
                      </pic:pic>
                    </a:graphicData>
                  </a:graphic>
                </wp:anchor>
              </w:drawing>
            </w:r>
          </w:p>
          <w:p w:rsidR="00BA1A30" w:rsidRDefault="00F54C07">
            <w:pPr>
              <w:pBdr>
                <w:top w:val="nil"/>
                <w:left w:val="nil"/>
                <w:bottom w:val="nil"/>
                <w:right w:val="nil"/>
                <w:between w:val="nil"/>
              </w:pBdr>
              <w:jc w:val="center"/>
              <w:rPr>
                <w:rFonts w:ascii="Times New Roman" w:eastAsia="Times New Roman" w:hAnsi="Times New Roman" w:cs="Times New Roman"/>
                <w:color w:val="FFFFFF"/>
              </w:rPr>
            </w:pPr>
            <w:r>
              <w:rPr>
                <w:rFonts w:ascii="Arial" w:eastAsia="Arial" w:hAnsi="Arial" w:cs="Arial"/>
                <w:b/>
                <w:color w:val="FFFFFF"/>
              </w:rPr>
              <w:t> Year 6 Transition Learning Projects</w:t>
            </w:r>
          </w:p>
        </w:tc>
      </w:tr>
      <w:tr w:rsidR="00BA1A30">
        <w:trPr>
          <w:trHeight w:val="73"/>
        </w:trPr>
        <w:tc>
          <w:tcPr>
            <w:tcW w:w="15720" w:type="dxa"/>
            <w:tcBorders>
              <w:top w:val="single" w:sz="8" w:space="0" w:color="000000"/>
              <w:left w:val="single" w:sz="12" w:space="0" w:color="434343"/>
              <w:bottom w:val="single" w:sz="8" w:space="0" w:color="000000"/>
              <w:right w:val="single" w:sz="12" w:space="0" w:color="434343"/>
            </w:tcBorders>
            <w:shd w:val="clear" w:color="auto" w:fill="FFFF00"/>
            <w:tcMar>
              <w:top w:w="150" w:type="dxa"/>
              <w:left w:w="150" w:type="dxa"/>
              <w:bottom w:w="150" w:type="dxa"/>
              <w:right w:w="150"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Your Network - Example Work</w:t>
            </w:r>
          </w:p>
        </w:tc>
      </w:tr>
      <w:tr w:rsidR="00BA1A30">
        <w:trPr>
          <w:trHeight w:val="222"/>
        </w:trPr>
        <w:tc>
          <w:tcPr>
            <w:tcW w:w="15720" w:type="dxa"/>
            <w:tcBorders>
              <w:top w:val="single" w:sz="8" w:space="0" w:color="000000"/>
              <w:left w:val="single" w:sz="12" w:space="0" w:color="434343"/>
              <w:bottom w:val="single" w:sz="8" w:space="0" w:color="000000"/>
              <w:right w:val="single" w:sz="12" w:space="0" w:color="434343"/>
            </w:tcBorders>
            <w:shd w:val="clear" w:color="auto" w:fill="FFFF00"/>
            <w:tcMar>
              <w:top w:w="150" w:type="dxa"/>
              <w:left w:w="150" w:type="dxa"/>
              <w:bottom w:w="150" w:type="dxa"/>
              <w:right w:w="150"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color w:val="000000"/>
                <w:sz w:val="20"/>
                <w:szCs w:val="20"/>
              </w:rPr>
              <w:t>Below are some examples of how your child could set out their work.</w:t>
            </w:r>
          </w:p>
        </w:tc>
      </w:tr>
      <w:tr w:rsidR="00BA1A30">
        <w:trPr>
          <w:trHeight w:val="690"/>
        </w:trPr>
        <w:tc>
          <w:tcPr>
            <w:tcW w:w="1572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A1A30" w:rsidRDefault="00F54C07">
            <w:pPr>
              <w:spacing w:after="240"/>
            </w:pPr>
            <w:r>
              <w:rPr>
                <w:noProof/>
              </w:rPr>
              <w:drawing>
                <wp:anchor distT="0" distB="0" distL="114300" distR="114300" simplePos="0" relativeHeight="251660288" behindDoc="0" locked="0" layoutInCell="1" hidden="0" allowOverlap="1">
                  <wp:simplePos x="0" y="0"/>
                  <wp:positionH relativeFrom="column">
                    <wp:posOffset>825706</wp:posOffset>
                  </wp:positionH>
                  <wp:positionV relativeFrom="paragraph">
                    <wp:posOffset>37465</wp:posOffset>
                  </wp:positionV>
                  <wp:extent cx="8336448" cy="2631989"/>
                  <wp:effectExtent l="0" t="0" r="762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36448" cy="2631989"/>
                          </a:xfrm>
                          <a:prstGeom prst="rect">
                            <a:avLst/>
                          </a:prstGeom>
                          <a:ln/>
                        </pic:spPr>
                      </pic:pic>
                    </a:graphicData>
                  </a:graphic>
                  <wp14:sizeRelH relativeFrom="margin">
                    <wp14:pctWidth>0</wp14:pctWidth>
                  </wp14:sizeRelH>
                  <wp14:sizeRelV relativeFrom="margin">
                    <wp14:pctHeight>0</wp14:pctHeight>
                  </wp14:sizeRelV>
                </wp:anchor>
              </w:drawing>
            </w:r>
            <w:r>
              <w:br/>
            </w:r>
            <w:r>
              <w:br/>
            </w:r>
            <w:r>
              <w:br/>
            </w:r>
            <w:r>
              <w:br/>
            </w:r>
            <w:r>
              <w:br/>
            </w:r>
            <w:r>
              <w:br/>
            </w:r>
            <w:r>
              <w:br/>
            </w:r>
            <w:r>
              <w:br/>
            </w:r>
            <w:r>
              <w:br/>
            </w:r>
            <w:r>
              <w:br/>
            </w:r>
            <w:r>
              <w:br/>
            </w:r>
          </w:p>
          <w:p w:rsidR="00BA1A30" w:rsidRDefault="00BA1A30">
            <w:pPr>
              <w:spacing w:after="240"/>
            </w:pPr>
          </w:p>
        </w:tc>
      </w:tr>
      <w:tr w:rsidR="00BA1A30">
        <w:trPr>
          <w:trHeight w:val="28"/>
        </w:trPr>
        <w:tc>
          <w:tcPr>
            <w:tcW w:w="15720" w:type="dxa"/>
            <w:tcBorders>
              <w:top w:val="single" w:sz="8" w:space="0" w:color="000000"/>
              <w:left w:val="single" w:sz="8" w:space="0" w:color="000000"/>
              <w:bottom w:val="single" w:sz="8" w:space="0" w:color="000000"/>
              <w:right w:val="single" w:sz="8" w:space="0" w:color="000000"/>
            </w:tcBorders>
            <w:shd w:val="clear" w:color="auto" w:fill="FFFF00"/>
            <w:tcMar>
              <w:top w:w="105" w:type="dxa"/>
              <w:left w:w="105" w:type="dxa"/>
              <w:bottom w:w="105" w:type="dxa"/>
              <w:right w:w="105"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Additional Learning Resources Parents May Wish To Engage With:</w:t>
            </w:r>
          </w:p>
        </w:tc>
      </w:tr>
      <w:tr w:rsidR="00BA1A30">
        <w:trPr>
          <w:trHeight w:val="690"/>
        </w:trPr>
        <w:tc>
          <w:tcPr>
            <w:tcW w:w="1572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A1A30" w:rsidRDefault="00F54C0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Here are more videos linked to making friends at secondary school that might be useful to your child - </w:t>
            </w:r>
            <w:hyperlink r:id="rId8">
              <w:r>
                <w:rPr>
                  <w:rFonts w:ascii="Arial" w:eastAsia="Arial" w:hAnsi="Arial" w:cs="Arial"/>
                  <w:color w:val="0097A7"/>
                  <w:sz w:val="20"/>
                  <w:szCs w:val="20"/>
                  <w:u w:val="single"/>
                </w:rPr>
                <w:t>vi</w:t>
              </w:r>
              <w:r>
                <w:rPr>
                  <w:rFonts w:ascii="Arial" w:eastAsia="Arial" w:hAnsi="Arial" w:cs="Arial"/>
                  <w:color w:val="0097A7"/>
                  <w:sz w:val="20"/>
                  <w:szCs w:val="20"/>
                  <w:u w:val="single"/>
                </w:rPr>
                <w:t>d</w:t>
              </w:r>
              <w:r>
                <w:rPr>
                  <w:rFonts w:ascii="Arial" w:eastAsia="Arial" w:hAnsi="Arial" w:cs="Arial"/>
                  <w:color w:val="0097A7"/>
                  <w:sz w:val="20"/>
                  <w:szCs w:val="20"/>
                  <w:u w:val="single"/>
                </w:rPr>
                <w:t>eo 1</w:t>
              </w:r>
            </w:hyperlink>
            <w:r>
              <w:rPr>
                <w:rFonts w:ascii="Arial" w:eastAsia="Arial" w:hAnsi="Arial" w:cs="Arial"/>
                <w:color w:val="000000"/>
                <w:sz w:val="20"/>
                <w:szCs w:val="20"/>
              </w:rPr>
              <w:t xml:space="preserve"> and </w:t>
            </w:r>
            <w:hyperlink r:id="rId9">
              <w:r>
                <w:rPr>
                  <w:rFonts w:ascii="Arial" w:eastAsia="Arial" w:hAnsi="Arial" w:cs="Arial"/>
                  <w:color w:val="0097A7"/>
                  <w:sz w:val="20"/>
                  <w:szCs w:val="20"/>
                  <w:u w:val="single"/>
                </w:rPr>
                <w:t>video 2</w:t>
              </w:r>
            </w:hyperlink>
            <w:r>
              <w:rPr>
                <w:rFonts w:ascii="Arial" w:eastAsia="Arial" w:hAnsi="Arial" w:cs="Arial"/>
                <w:color w:val="000000"/>
                <w:sz w:val="20"/>
                <w:szCs w:val="20"/>
              </w:rPr>
              <w:t>. </w:t>
            </w:r>
          </w:p>
          <w:p w:rsidR="00BA1A30" w:rsidRDefault="00F54C0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Parent survival guide - this is a </w:t>
            </w:r>
            <w:hyperlink r:id="rId10">
              <w:r>
                <w:rPr>
                  <w:rFonts w:ascii="Arial" w:eastAsia="Arial" w:hAnsi="Arial" w:cs="Arial"/>
                  <w:color w:val="0097A7"/>
                  <w:sz w:val="20"/>
                  <w:szCs w:val="20"/>
                  <w:u w:val="single"/>
                </w:rPr>
                <w:t xml:space="preserve">short </w:t>
              </w:r>
              <w:r>
                <w:rPr>
                  <w:rFonts w:ascii="Arial" w:eastAsia="Arial" w:hAnsi="Arial" w:cs="Arial"/>
                  <w:color w:val="0097A7"/>
                  <w:sz w:val="20"/>
                  <w:szCs w:val="20"/>
                  <w:u w:val="single"/>
                </w:rPr>
                <w:t>v</w:t>
              </w:r>
              <w:r>
                <w:rPr>
                  <w:rFonts w:ascii="Arial" w:eastAsia="Arial" w:hAnsi="Arial" w:cs="Arial"/>
                  <w:color w:val="0097A7"/>
                  <w:sz w:val="20"/>
                  <w:szCs w:val="20"/>
                  <w:u w:val="single"/>
                </w:rPr>
                <w:t>ideo</w:t>
              </w:r>
            </w:hyperlink>
            <w:r>
              <w:rPr>
                <w:rFonts w:ascii="Arial" w:eastAsia="Arial" w:hAnsi="Arial" w:cs="Arial"/>
                <w:color w:val="000000"/>
                <w:sz w:val="20"/>
                <w:szCs w:val="20"/>
              </w:rPr>
              <w:t xml:space="preserve"> that discusses some of the concerns parents might have and tips on how to overcome them. </w:t>
            </w:r>
          </w:p>
          <w:p w:rsidR="00BA1A30" w:rsidRDefault="00F54C0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This </w:t>
            </w:r>
            <w:hyperlink r:id="rId11">
              <w:r>
                <w:rPr>
                  <w:rFonts w:ascii="Arial" w:eastAsia="Arial" w:hAnsi="Arial" w:cs="Arial"/>
                  <w:color w:val="0097A7"/>
                  <w:sz w:val="20"/>
                  <w:szCs w:val="20"/>
                  <w:u w:val="single"/>
                </w:rPr>
                <w:t>video</w:t>
              </w:r>
            </w:hyperlink>
            <w:r>
              <w:rPr>
                <w:rFonts w:ascii="Arial" w:eastAsia="Arial" w:hAnsi="Arial" w:cs="Arial"/>
                <w:color w:val="000000"/>
                <w:sz w:val="20"/>
                <w:szCs w:val="20"/>
              </w:rPr>
              <w:t xml:space="preserve"> has some tips for making friends at secondary school.</w:t>
            </w:r>
          </w:p>
          <w:p w:rsidR="00BA1A30" w:rsidRDefault="00F54C0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231F20"/>
                <w:sz w:val="20"/>
                <w:szCs w:val="20"/>
              </w:rPr>
              <w:t xml:space="preserve">This </w:t>
            </w:r>
            <w:hyperlink r:id="rId12">
              <w:r>
                <w:rPr>
                  <w:rFonts w:ascii="Arial" w:eastAsia="Arial" w:hAnsi="Arial" w:cs="Arial"/>
                  <w:color w:val="0097A7"/>
                  <w:sz w:val="20"/>
                  <w:szCs w:val="20"/>
                  <w:u w:val="single"/>
                </w:rPr>
                <w:t>video</w:t>
              </w:r>
            </w:hyperlink>
            <w:r>
              <w:rPr>
                <w:rFonts w:ascii="Arial" w:eastAsia="Arial" w:hAnsi="Arial" w:cs="Arial"/>
                <w:color w:val="231F20"/>
                <w:sz w:val="20"/>
                <w:szCs w:val="20"/>
              </w:rPr>
              <w:t xml:space="preserve"> offers advice on how to best prepare your child practically and emotio</w:t>
            </w:r>
            <w:r>
              <w:rPr>
                <w:rFonts w:ascii="Arial" w:eastAsia="Arial" w:hAnsi="Arial" w:cs="Arial"/>
                <w:color w:val="231F20"/>
                <w:sz w:val="20"/>
                <w:szCs w:val="20"/>
              </w:rPr>
              <w:t>nally for the start of secondary school.</w:t>
            </w:r>
          </w:p>
          <w:p w:rsidR="00BA1A30" w:rsidRDefault="00F54C07">
            <w:pPr>
              <w:numPr>
                <w:ilvl w:val="0"/>
                <w:numId w:val="1"/>
              </w:numPr>
              <w:pBdr>
                <w:top w:val="nil"/>
                <w:left w:val="nil"/>
                <w:bottom w:val="nil"/>
                <w:right w:val="nil"/>
                <w:between w:val="nil"/>
              </w:pBdr>
              <w:rPr>
                <w:rFonts w:ascii="Arial" w:eastAsia="Arial" w:hAnsi="Arial" w:cs="Arial"/>
                <w:color w:val="231F20"/>
                <w:sz w:val="20"/>
                <w:szCs w:val="20"/>
              </w:rPr>
            </w:pPr>
            <w:r>
              <w:rPr>
                <w:rFonts w:ascii="Arial" w:eastAsia="Arial" w:hAnsi="Arial" w:cs="Arial"/>
                <w:color w:val="000000"/>
                <w:sz w:val="20"/>
                <w:szCs w:val="20"/>
              </w:rPr>
              <w:t xml:space="preserve">This </w:t>
            </w:r>
            <w:hyperlink r:id="rId13">
              <w:r>
                <w:rPr>
                  <w:rFonts w:ascii="Arial" w:eastAsia="Arial" w:hAnsi="Arial" w:cs="Arial"/>
                  <w:color w:val="0097A7"/>
                  <w:sz w:val="20"/>
                  <w:szCs w:val="20"/>
                  <w:u w:val="single"/>
                </w:rPr>
                <w:t>webs</w:t>
              </w:r>
              <w:bookmarkStart w:id="0" w:name="_GoBack"/>
              <w:bookmarkEnd w:id="0"/>
              <w:r>
                <w:rPr>
                  <w:rFonts w:ascii="Arial" w:eastAsia="Arial" w:hAnsi="Arial" w:cs="Arial"/>
                  <w:color w:val="0097A7"/>
                  <w:sz w:val="20"/>
                  <w:szCs w:val="20"/>
                  <w:u w:val="single"/>
                </w:rPr>
                <w:t>i</w:t>
              </w:r>
              <w:r>
                <w:rPr>
                  <w:rFonts w:ascii="Arial" w:eastAsia="Arial" w:hAnsi="Arial" w:cs="Arial"/>
                  <w:color w:val="0097A7"/>
                  <w:sz w:val="20"/>
                  <w:szCs w:val="20"/>
                  <w:u w:val="single"/>
                </w:rPr>
                <w:t>te</w:t>
              </w:r>
            </w:hyperlink>
            <w:r>
              <w:rPr>
                <w:rFonts w:ascii="Arial" w:eastAsia="Arial" w:hAnsi="Arial" w:cs="Arial"/>
                <w:color w:val="000000"/>
                <w:sz w:val="20"/>
                <w:szCs w:val="20"/>
              </w:rPr>
              <w:t xml:space="preserve"> has some videos of worries your children may have and explains how other children have overcome them.</w:t>
            </w:r>
          </w:p>
        </w:tc>
      </w:tr>
      <w:tr w:rsidR="00BA1A30">
        <w:trPr>
          <w:trHeight w:val="142"/>
        </w:trPr>
        <w:tc>
          <w:tcPr>
            <w:tcW w:w="15720" w:type="dxa"/>
            <w:tcBorders>
              <w:top w:val="single" w:sz="8" w:space="0" w:color="000000"/>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BA1A30" w:rsidRDefault="00F54C07">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FFFFFF"/>
              </w:rPr>
              <w:t>#</w:t>
            </w:r>
            <w:proofErr w:type="spellStart"/>
            <w:r>
              <w:rPr>
                <w:rFonts w:ascii="Arial" w:eastAsia="Arial" w:hAnsi="Arial" w:cs="Arial"/>
                <w:b/>
                <w:color w:val="FFFFFF"/>
              </w:rPr>
              <w:t>TheLearningProjects</w:t>
            </w:r>
            <w:proofErr w:type="spellEnd"/>
            <w:r>
              <w:rPr>
                <w:rFonts w:ascii="Arial" w:eastAsia="Arial" w:hAnsi="Arial" w:cs="Arial"/>
                <w:b/>
                <w:color w:val="FFFFFF"/>
              </w:rPr>
              <w:t> </w:t>
            </w:r>
          </w:p>
        </w:tc>
      </w:tr>
    </w:tbl>
    <w:p w:rsidR="00BA1A30" w:rsidRDefault="00BA1A30">
      <w:pPr>
        <w:rPr>
          <w:rFonts w:ascii="-webkit-standard" w:eastAsia="-webkit-standard" w:hAnsi="-webkit-standard" w:cs="-webkit-standard"/>
          <w:color w:val="000000"/>
        </w:rPr>
      </w:pPr>
    </w:p>
    <w:sectPr w:rsidR="00BA1A30">
      <w:pgSz w:w="16840" w:h="1190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D9"/>
    <w:multiLevelType w:val="multilevel"/>
    <w:tmpl w:val="1F9C0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30"/>
    <w:rsid w:val="00BA1A30"/>
    <w:rsid w:val="00F5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26AF"/>
  <w15:docId w15:val="{8FDD8181-7367-4534-B843-D90B70BB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6mj47h" TargetMode="External"/><Relationship Id="rId13" Type="http://schemas.openxmlformats.org/officeDocument/2006/relationships/hyperlink" Target="https://www.bbc.co.uk/bitesize/tags/zh4wy9q/starting-secondary-school/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bbc.co.uk/bitesize/articles/z4k8b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articles/znhf7nb" TargetMode="External"/><Relationship Id="rId11" Type="http://schemas.openxmlformats.org/officeDocument/2006/relationships/hyperlink" Target="https://safeyoutube.net/w/IKa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bc.co.uk/bitesize/articles/zbr7rj6" TargetMode="External"/><Relationship Id="rId4" Type="http://schemas.openxmlformats.org/officeDocument/2006/relationships/webSettings" Target="webSettings.xml"/><Relationship Id="rId9" Type="http://schemas.openxmlformats.org/officeDocument/2006/relationships/hyperlink" Target="https://www.bbc.co.uk/bitesize/articles/z6gkf4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 Tyrer</dc:creator>
  <cp:lastModifiedBy>Lottie Tyrer</cp:lastModifiedBy>
  <cp:revision>2</cp:revision>
  <dcterms:created xsi:type="dcterms:W3CDTF">2020-06-26T04:50:00Z</dcterms:created>
  <dcterms:modified xsi:type="dcterms:W3CDTF">2020-06-26T04:50:00Z</dcterms:modified>
</cp:coreProperties>
</file>